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13C11" w14:textId="60BD33B6" w:rsidR="00AB51A0" w:rsidRDefault="00AB51A0">
      <w:bookmarkStart w:id="0" w:name="_GoBack"/>
      <w:bookmarkEnd w:id="0"/>
      <w:r>
        <w:t>OMESSO RITARDATO PAGAMENTO</w:t>
      </w:r>
    </w:p>
    <w:p w14:paraId="5575B21F" w14:textId="3F2B8BF6" w:rsidR="00AB51A0" w:rsidRDefault="00AB51A0">
      <w:r>
        <w:t>In caso di omesso o parziale pagamento o qualora risultino importi pregressi ancora dovuti, verrà dato seguito alla procedura di riscossione coattiva come previsto dalla normativa vigente, comprensivo di sanzioni ed interessi</w:t>
      </w:r>
    </w:p>
    <w:sectPr w:rsidR="00AB51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1A0"/>
    <w:rsid w:val="00AB51A0"/>
    <w:rsid w:val="00D5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A94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Margiotti</dc:creator>
  <cp:lastModifiedBy>Filippo Caporossi</cp:lastModifiedBy>
  <cp:revision>2</cp:revision>
  <dcterms:created xsi:type="dcterms:W3CDTF">2020-07-03T08:10:00Z</dcterms:created>
  <dcterms:modified xsi:type="dcterms:W3CDTF">2020-07-03T08:10:00Z</dcterms:modified>
</cp:coreProperties>
</file>